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В 2014-2015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33604).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Сочинение позволит проверить широту кругозора, умение </w:t>
      </w:r>
      <w:proofErr w:type="gram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мыслить и доказывать</w:t>
      </w:r>
      <w:proofErr w:type="gram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свою позицию с опорой на самостоятельно выбранные произведения отечественной и мировой литературы.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Итоговое изложение вместо сочинения вправе писать только обучающиеся с ограниченными возможностями здоровья или дети-инвалиды и инвалиды.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Для выпускников 2015 года написание итогового сочинения (изложения) </w:t>
      </w:r>
      <w:proofErr w:type="gram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является обязательным этапом завершения среднего образования и рассматривается</w:t>
      </w:r>
      <w:proofErr w:type="gram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как допуск к государственной итоговой аттестации. Результатом итогового сочинения или изложения будет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 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«В этом году мы вместе с экспертами Совета по вопросам проведения итогового сочинения разработали более «мягкую» форму написания сочинения, без жестких оценочных градаций, – 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пояснил Министр образования и науки Российской Федерации </w:t>
      </w:r>
      <w:r w:rsidRPr="00CE787F">
        <w:rPr>
          <w:rFonts w:ascii="Times New Roman" w:hAnsi="Times New Roman"/>
          <w:b/>
          <w:bCs/>
          <w:color w:val="2B2A29"/>
          <w:sz w:val="24"/>
          <w:szCs w:val="24"/>
          <w:lang w:eastAsia="ru-RU"/>
        </w:rPr>
        <w:t>Дмитрий Ливанов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. –</w:t>
      </w: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 Введение нового выпускного испытания будет проходить из года в год поэтапно, на основе оценки результатов предыдущего года».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По желанию итоговое сочинение (изложение) могут писать и выпускники прошлых лет, чтобы представить его результаты в вузы.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Темы сочинений разрабатываются в закрытом режиме, но в рамках открытых тематических направлений, сформулированных Советом по вопросам проведения итогового сочинения в выпускных классах под председательством </w:t>
      </w:r>
      <w:r w:rsidRPr="00CE787F">
        <w:rPr>
          <w:rFonts w:ascii="Times New Roman" w:hAnsi="Times New Roman"/>
          <w:b/>
          <w:bCs/>
          <w:color w:val="2B2A29"/>
          <w:sz w:val="24"/>
          <w:szCs w:val="24"/>
          <w:lang w:eastAsia="ru-RU"/>
        </w:rPr>
        <w:t>Натальи Солженицыной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, президента Русского общественного фонда Александра Солженицына. Направления тем сочинения были опубликованы 29 августа 2014 года на официальном сайте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Минобрнауки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России.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Важно отметить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литературоцентричность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итогового сочинения, </w:t>
      </w:r>
      <w:proofErr w:type="gram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обусловленную</w:t>
      </w:r>
      <w:proofErr w:type="gram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Писать итоговое сочинение (изложение) выпускники будут в первую среду декабря 2014 года в своих школах по темам (текстам), сформированным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Рособрнадзором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по часовым поясам. В феврале и апреле-мае 2015 года будет предоставлена возможность повторно написать сочинение (изложение), если по уважительной причине выпускник не смог написать сочинение в основной срок или получил «незачет».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1 октября 2014 года на сайтах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Минобрнауки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России и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Рособрнадзора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размещены Критерии оценивания итогового сочинения для школ.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Они утверждены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Рособрнадзором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после одобрения Совета по вопросам проведения итогового сочинения в выпускных классах.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Критерии прошли все необходимые этапы разработки, экспертизы и обсуждения. Была проведена их апробация в ряде субъектов Российской Федерации. 30 сентября завершилось общественно-профессиональное обсуждение проекта критериев, размещенного на сайте ФГБНУ «ФИПИ». Полученные замечания и предложения были рассмотрены на совещании при руководителе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Рособрнадзора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Сергее Кравцове с участием представителей </w:t>
      </w:r>
      <w:proofErr w:type="spellStart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Минобрнауки</w:t>
      </w:r>
      <w:proofErr w:type="spellEnd"/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 России, ФГБНУ «ФИПИ», ФГБУ «ФЦТ», министров образования Тверской и Калужской областей,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lastRenderedPageBreak/>
        <w:t>специалистов ведущих вузов (МГУ им. М.В. Ломоносова, Высшей школы экономики, РУДН), членов Совета, разработчиков критериев.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Утвержденные критерии позволят оценить сочинение по пяти параметрам:</w:t>
      </w:r>
    </w:p>
    <w:p w:rsidR="00CE787F" w:rsidRPr="00CE787F" w:rsidRDefault="00CE787F" w:rsidP="00CE7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Соответствие теме;</w:t>
      </w:r>
    </w:p>
    <w:p w:rsidR="00CE787F" w:rsidRPr="00CE787F" w:rsidRDefault="00CE787F" w:rsidP="00CE7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Аргументация. Привлечение литературного материала;</w:t>
      </w:r>
    </w:p>
    <w:p w:rsidR="00CE787F" w:rsidRPr="00CE787F" w:rsidRDefault="00CE787F" w:rsidP="00CE7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Композиция и логика рассуждения;</w:t>
      </w:r>
    </w:p>
    <w:p w:rsidR="00CE787F" w:rsidRPr="00CE787F" w:rsidRDefault="00CE787F" w:rsidP="00CE7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Качество письменной речи;</w:t>
      </w:r>
    </w:p>
    <w:p w:rsidR="00CE787F" w:rsidRPr="00CE787F" w:rsidRDefault="00CE787F" w:rsidP="00CE78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Грамотность. 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Время написания сочинения – 3 часа 55 минут.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Выпускнику разрешается пользоваться орфографическим словарём.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 xml:space="preserve">Для получения «зачета» необходимо иметь положительный результат по трем критериям (по </w:t>
      </w: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критериям № 1 и № 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«</w:t>
      </w: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Сочинение на литературном материале, которое будут писать выпускники уже в декабре этого года, – важный шаг на пути к возрождению отечественного гуманитарного школьного образования, без которого не мыслится жизнеспособность нашего общества,– 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подчеркнула Наталия Солженицына. – </w:t>
      </w: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В сочинении должны проявиться не только итоги обучения в школе, но и личностная зрелость выпускника, способного рассуждать на жизненно важные темы с опорой на самостоятельно выбранные литературные произведения»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.</w:t>
      </w: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</w:p>
    <w:p w:rsidR="00CE787F" w:rsidRPr="00CE787F" w:rsidRDefault="00CE787F" w:rsidP="00CE787F">
      <w:pPr>
        <w:spacing w:after="0" w:line="240" w:lineRule="auto"/>
        <w:jc w:val="both"/>
        <w:rPr>
          <w:rFonts w:ascii="Times New Roman" w:hAnsi="Times New Roman"/>
          <w:color w:val="2B2A29"/>
          <w:sz w:val="24"/>
          <w:szCs w:val="24"/>
          <w:lang w:eastAsia="ru-RU"/>
        </w:rPr>
      </w:pPr>
      <w:r>
        <w:rPr>
          <w:rFonts w:ascii="Times New Roman" w:hAnsi="Times New Roman"/>
          <w:color w:val="2B2A29"/>
          <w:sz w:val="24"/>
          <w:szCs w:val="24"/>
          <w:lang w:eastAsia="ru-RU"/>
        </w:rPr>
        <w:t xml:space="preserve">     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Профессор </w:t>
      </w:r>
      <w:r w:rsidRPr="00CE787F">
        <w:rPr>
          <w:rFonts w:ascii="Times New Roman" w:hAnsi="Times New Roman"/>
          <w:b/>
          <w:bCs/>
          <w:color w:val="2B2A29"/>
          <w:sz w:val="24"/>
          <w:szCs w:val="24"/>
          <w:lang w:eastAsia="ru-RU"/>
        </w:rPr>
        <w:t>Сергей Зинин 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один из разработчиков критериев оценки сочинения, так прокомментировал суть решаемой задачи: </w:t>
      </w: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«Сочинение, взявшее на себя функцию допуска к итоговой государственной аттестации, является формой</w:t>
      </w:r>
      <w:r w:rsidR="00224949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 xml:space="preserve"> </w:t>
      </w:r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«предъявления» себя, своих образовательных достижений обществу. Разработка методического обеспечения итогового сочинения ведется таким образом, чтобы избежать его «</w:t>
      </w:r>
      <w:proofErr w:type="spellStart"/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оказёнивания</w:t>
      </w:r>
      <w:proofErr w:type="spellEnd"/>
      <w:r w:rsidRPr="00CE787F">
        <w:rPr>
          <w:rFonts w:ascii="Times New Roman" w:hAnsi="Times New Roman"/>
          <w:i/>
          <w:iCs/>
          <w:color w:val="2B2A29"/>
          <w:sz w:val="24"/>
          <w:szCs w:val="24"/>
          <w:lang w:eastAsia="ru-RU"/>
        </w:rPr>
        <w:t>»: критерии его оценивания, как и сами формулировки тем, не будут препятствовать возможности личностного самовыражения выпускника, свободному письменному высказыванию на выбранную им тему</w:t>
      </w:r>
      <w:r w:rsidRPr="00CE787F">
        <w:rPr>
          <w:rFonts w:ascii="Times New Roman" w:hAnsi="Times New Roman"/>
          <w:color w:val="2B2A29"/>
          <w:sz w:val="24"/>
          <w:szCs w:val="24"/>
          <w:lang w:eastAsia="ru-RU"/>
        </w:rPr>
        <w:t>».</w:t>
      </w:r>
    </w:p>
    <w:p w:rsidR="00746ACA" w:rsidRPr="00CE787F" w:rsidRDefault="00746ACA" w:rsidP="00CE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6ACA" w:rsidRPr="00CE787F" w:rsidSect="00CE78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245F"/>
    <w:multiLevelType w:val="multilevel"/>
    <w:tmpl w:val="181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87F"/>
    <w:rsid w:val="00142A77"/>
    <w:rsid w:val="00224949"/>
    <w:rsid w:val="005B6206"/>
    <w:rsid w:val="006A3F44"/>
    <w:rsid w:val="00746ACA"/>
    <w:rsid w:val="00762D0C"/>
    <w:rsid w:val="009D48E7"/>
    <w:rsid w:val="00CE787F"/>
    <w:rsid w:val="00D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CE7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2014-11-18T10:19:00Z</dcterms:created>
  <dcterms:modified xsi:type="dcterms:W3CDTF">2014-11-18T14:19:00Z</dcterms:modified>
</cp:coreProperties>
</file>